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6B" w:rsidRDefault="00F06E6B" w:rsidP="00F06E6B">
      <w:pPr>
        <w:spacing w:beforeLines="100" w:before="312" w:line="640" w:lineRule="exact"/>
        <w:jc w:val="center"/>
        <w:outlineLvl w:val="0"/>
        <w:rPr>
          <w:rFonts w:ascii="华文行楷" w:eastAsia="华文行楷" w:hint="eastAsia"/>
          <w:b/>
          <w:color w:val="FF0000"/>
          <w:sz w:val="68"/>
          <w:szCs w:val="68"/>
        </w:rPr>
      </w:pPr>
      <w:r>
        <w:rPr>
          <w:rFonts w:ascii="华文行楷" w:eastAsia="华文行楷" w:hint="eastAsia"/>
          <w:b/>
          <w:color w:val="FF0000"/>
          <w:sz w:val="68"/>
          <w:szCs w:val="68"/>
        </w:rPr>
        <w:t>浙江大学学术委员会</w:t>
      </w:r>
    </w:p>
    <w:p w:rsidR="00254AF1" w:rsidRDefault="00254AF1" w:rsidP="00F06E6B">
      <w:pPr>
        <w:spacing w:beforeLines="100" w:before="312" w:line="640" w:lineRule="exact"/>
        <w:jc w:val="center"/>
        <w:outlineLvl w:val="0"/>
        <w:rPr>
          <w:rFonts w:ascii="华文行楷" w:eastAsia="华文行楷"/>
          <w:b/>
          <w:color w:val="FF0000"/>
          <w:sz w:val="68"/>
          <w:szCs w:val="68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浙大</w:t>
      </w:r>
      <w:proofErr w:type="gramStart"/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学术委</w:t>
      </w:r>
      <w:proofErr w:type="gramEnd"/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〔20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22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〕</w:t>
      </w: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号</w:t>
      </w:r>
    </w:p>
    <w:p w:rsidR="00F06E6B" w:rsidRDefault="00F06E6B" w:rsidP="00F06E6B">
      <w:pPr>
        <w:spacing w:line="240" w:lineRule="atLeast"/>
        <w:jc w:val="center"/>
        <w:rPr>
          <w:rFonts w:ascii="Times New Roman" w:eastAsia="宋体" w:hAnsi="Times New Roman"/>
          <w:color w:val="000000"/>
          <w:szCs w:val="24"/>
        </w:rPr>
      </w:pPr>
      <w:r>
        <w:rPr>
          <w:rFonts w:ascii="Times New Roman" w:eastAsia="宋体" w:hAnsi="Times New Roman" w:hint="eastAsia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876048" wp14:editId="2E8594A1">
                <wp:simplePos x="0" y="0"/>
                <wp:positionH relativeFrom="column">
                  <wp:posOffset>9525</wp:posOffset>
                </wp:positionH>
                <wp:positionV relativeFrom="paragraph">
                  <wp:posOffset>97154</wp:posOffset>
                </wp:positionV>
                <wp:extent cx="5339080" cy="0"/>
                <wp:effectExtent l="0" t="19050" r="1397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65pt" to="421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" strokecolor="red" strokeweight="3.5pt">
                <o:lock v:ext="edit" shapetype="f"/>
              </v:line>
            </w:pict>
          </mc:Fallback>
        </mc:AlternateContent>
      </w:r>
    </w:p>
    <w:p w:rsidR="006037A4" w:rsidRPr="006037A4" w:rsidRDefault="006037A4" w:rsidP="00254AF1">
      <w:pPr>
        <w:widowControl/>
        <w:spacing w:beforeLines="100" w:before="312" w:after="90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华文中宋" w:eastAsia="华文中宋" w:hAnsi="华文中宋" w:cs="Tahoma" w:hint="eastAsia"/>
          <w:b/>
          <w:bCs/>
          <w:color w:val="333333"/>
          <w:kern w:val="0"/>
          <w:sz w:val="41"/>
          <w:szCs w:val="41"/>
        </w:rPr>
        <w:t>浙江大学学术委员会议事规则</w:t>
      </w:r>
    </w:p>
    <w:p w:rsidR="006037A4" w:rsidRPr="006037A4" w:rsidRDefault="006037A4" w:rsidP="00254AF1">
      <w:pPr>
        <w:widowControl/>
        <w:spacing w:before="100" w:beforeAutospacing="1" w:after="90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bookmarkStart w:id="0" w:name="_GoBack"/>
      <w:bookmarkEnd w:id="0"/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为了规范浙江大学学术委员会（以下简称学术委员会）的审议、评议与咨询程序，提高议事效率，保证各项工作有序开展，更好地履行学术委员会的职责，根据《浙江大学学术委员会章程》，特制定本议事规则。</w:t>
      </w:r>
    </w:p>
    <w:p w:rsidR="006037A4" w:rsidRPr="006037A4" w:rsidRDefault="006037A4" w:rsidP="00527376">
      <w:pPr>
        <w:widowControl/>
        <w:spacing w:line="600" w:lineRule="exact"/>
        <w:ind w:firstLineChars="200" w:firstLine="602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b/>
          <w:bCs/>
          <w:color w:val="333333"/>
          <w:kern w:val="0"/>
          <w:sz w:val="30"/>
          <w:szCs w:val="30"/>
        </w:rPr>
        <w:t>一、议事范围和议题确定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1．学术委员会议事范围为《浙江大学学术委员会章程》规定的学术委员会职责所涉事项。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2．提交学术委员会讨论的议题主要来自校领导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和有关职能部门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的委托，学术委员会联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系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校领导的建议，各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学术委员会工作委员会、</w:t>
      </w:r>
      <w:r w:rsidR="00DB6D8E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咨询委员会、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各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学部</w:t>
      </w:r>
      <w:r w:rsidR="0031435C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学术委员会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以及学术委员会委员个人或者联名提交的议案。由学术委员会秘书长汇总后提交主任会议讨论确定。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3．对于确定的议题，由学术委员会秘书长或</w:t>
      </w:r>
      <w:r w:rsidR="00F94DA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秘书处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事先做好沟通协调，并准备规范简明的会议材料。学术委员会主任认为有必要时，可指定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相关工作委员会或专题</w:t>
      </w:r>
      <w:r w:rsid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工作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组</w:t>
      </w:r>
      <w:r w:rsidR="00DB6D8E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、</w:t>
      </w:r>
      <w:r w:rsidR="00921F3D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或委托</w:t>
      </w:r>
      <w:r w:rsidR="00DB6D8E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咨询委员会等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先行提出初审意见。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lastRenderedPageBreak/>
        <w:t>4．列入会议讨论的议题，一般由学术委员会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秘书处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在会前2天，将有关材料呈送参会的各位委员，以便安排工作，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提前审阅并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准备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相关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意见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和建议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5．必要时，学术委员会可邀请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相关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校领导或者有关职能部门负责人到会通报学校有关情况。</w:t>
      </w:r>
    </w:p>
    <w:p w:rsidR="006037A4" w:rsidRPr="006037A4" w:rsidRDefault="006037A4" w:rsidP="00527376">
      <w:pPr>
        <w:widowControl/>
        <w:spacing w:line="600" w:lineRule="exact"/>
        <w:ind w:firstLineChars="200" w:firstLine="602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b/>
          <w:bCs/>
          <w:color w:val="333333"/>
          <w:kern w:val="0"/>
          <w:sz w:val="30"/>
          <w:szCs w:val="30"/>
        </w:rPr>
        <w:t>二、召开会议和表决形式</w:t>
      </w:r>
    </w:p>
    <w:p w:rsidR="006037A4" w:rsidRPr="006037A4" w:rsidRDefault="006037A4" w:rsidP="008969BA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1．学术委员会的议事形式主要有召开全体会议、主任会议、工作</w:t>
      </w:r>
      <w:r w:rsidR="000D470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委员会会议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或专题</w:t>
      </w:r>
      <w:r w:rsid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工作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组会议</w:t>
      </w:r>
      <w:r w:rsidR="00DB6D8E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、以及咨询委员会会议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。</w:t>
      </w:r>
      <w:r w:rsidR="008969BA" w:rsidRP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学术委员会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全体会议</w:t>
      </w:r>
      <w:r w:rsid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每年二次，固定</w:t>
      </w:r>
      <w:r w:rsidR="008969BA" w:rsidRP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时间</w:t>
      </w:r>
      <w:r w:rsid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召开，分别在每年</w:t>
      </w:r>
      <w:r w:rsidR="008969BA" w:rsidRP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5 月</w:t>
      </w:r>
      <w:r w:rsid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和</w:t>
      </w:r>
      <w:r w:rsidR="008969BA" w:rsidRP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11 月。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主任会议、工作</w:t>
      </w:r>
      <w:r w:rsid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委员会会议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或专题</w:t>
      </w:r>
      <w:r w:rsidR="008969BA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工作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组会议</w:t>
      </w:r>
      <w:r w:rsidR="00DB6D8E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、以及咨询委员会会议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可根据需要随时召开。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2．学术委员会以推进学术进步、服务学校发展为宗旨，议事各抒己见，决策民主集中，按照少数服从多数的原则讨论决定有关事项。对于少数人的不同意见，应当认真考虑。</w:t>
      </w:r>
    </w:p>
    <w:p w:rsidR="005D7882" w:rsidRDefault="006037A4" w:rsidP="005D7882">
      <w:pPr>
        <w:widowControl/>
        <w:spacing w:line="600" w:lineRule="exact"/>
        <w:ind w:firstLineChars="200" w:firstLine="600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3．对于需以记名或无记名投票方式做出决定的重大事项，应有三分之二以上委员出席会议方可做出表决。除法律、法规和学校规章规定的情况外，同意票达到实际到会委员人数的</w:t>
      </w:r>
      <w:r w:rsidR="00A57F04" w:rsidRPr="00A57F0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三分之二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以上方为通过。未到会委员不能委托其他委员代为投票表决。</w:t>
      </w:r>
    </w:p>
    <w:p w:rsidR="00DB6D8E" w:rsidRPr="005D7882" w:rsidRDefault="00DB6D8E" w:rsidP="005D7882">
      <w:pPr>
        <w:widowControl/>
        <w:spacing w:line="600" w:lineRule="exact"/>
        <w:ind w:firstLineChars="200" w:firstLine="600"/>
        <w:rPr>
          <w:rFonts w:ascii="仿宋_GB2312" w:eastAsia="仿宋_GB2312" w:hAnsi="Tahoma" w:cs="Tahoma"/>
          <w:color w:val="333333"/>
          <w:kern w:val="0"/>
          <w:sz w:val="30"/>
          <w:szCs w:val="30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4.</w:t>
      </w:r>
      <w:r w:rsidRPr="00DB6D8E">
        <w:rPr>
          <w:rFonts w:hint="eastAsia"/>
        </w:rPr>
        <w:t xml:space="preserve"> </w:t>
      </w:r>
      <w:r w:rsidRPr="00DB6D8E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咨询委员会委员可应邀参加学术委员会的各类会议，参与学校各类重大学术事项的研讨和咨询，不参与学术委员会决议事项的表决与投票。</w:t>
      </w:r>
    </w:p>
    <w:p w:rsidR="006037A4" w:rsidRPr="006037A4" w:rsidRDefault="00DB6D8E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仿宋" w:cs="Tahoma" w:hint="eastAsia"/>
          <w:color w:val="333333"/>
          <w:kern w:val="0"/>
          <w:sz w:val="30"/>
          <w:szCs w:val="30"/>
        </w:rPr>
        <w:t>5</w:t>
      </w:r>
      <w:r w:rsidR="006037A4" w:rsidRPr="006037A4">
        <w:rPr>
          <w:rFonts w:ascii="仿宋_GB2312" w:eastAsia="仿宋_GB2312" w:hAnsi="仿宋" w:cs="Tahoma" w:hint="eastAsia"/>
          <w:color w:val="333333"/>
          <w:kern w:val="0"/>
          <w:sz w:val="30"/>
          <w:szCs w:val="30"/>
        </w:rPr>
        <w:t xml:space="preserve"> 遇有紧急事项需要表决时，经学术委员会主任会议商定，可进行通讯表决。</w:t>
      </w:r>
    </w:p>
    <w:p w:rsidR="006037A4" w:rsidRPr="006037A4" w:rsidRDefault="00DB6D8E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lastRenderedPageBreak/>
        <w:t>6</w:t>
      </w:r>
      <w:r w:rsidR="006037A4"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．学术委员会讨论时遇意见分歧较大或重要事实需进一步论证核查的，可暂缓</w:t>
      </w:r>
      <w:proofErr w:type="gramStart"/>
      <w:r w:rsidR="006037A4"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作出</w:t>
      </w:r>
      <w:proofErr w:type="gramEnd"/>
      <w:r w:rsidR="006037A4"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决定。</w:t>
      </w:r>
    </w:p>
    <w:p w:rsidR="006037A4" w:rsidRPr="006037A4" w:rsidRDefault="00DB6D8E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7</w:t>
      </w:r>
      <w:r w:rsidR="006037A4"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．学术委员会召开会议时，根据议题的需要，可通知有关部门和单位的负责人列席。列席人员可根据需要参与讨论，但没有表决权。学术委员会也可根据需要邀请校外专家学者参加会议，充分听取意见。</w:t>
      </w:r>
    </w:p>
    <w:p w:rsidR="006037A4" w:rsidRPr="006037A4" w:rsidRDefault="00DB6D8E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8</w:t>
      </w:r>
      <w:r w:rsidR="006037A4"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．注意提高会议效率，有关人员对议题的说明和汇报要有必要准备，按规定时间发言。委员在讨论时提倡充分发表意见，发言要中心突出、观点明确。会议主持人要根据讨论情况进行归纳总结或提炼结论意见。</w:t>
      </w:r>
    </w:p>
    <w:p w:rsidR="006037A4" w:rsidRPr="006037A4" w:rsidRDefault="006037A4" w:rsidP="00527376">
      <w:pPr>
        <w:widowControl/>
        <w:spacing w:line="600" w:lineRule="exact"/>
        <w:ind w:firstLineChars="200" w:firstLine="602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b/>
          <w:bCs/>
          <w:color w:val="333333"/>
          <w:kern w:val="0"/>
          <w:sz w:val="30"/>
          <w:szCs w:val="30"/>
        </w:rPr>
        <w:t>三、议事结果的报送与实施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1．学术委员会的会议纪要、审议意见和咨询建议，由学术委员会</w:t>
      </w:r>
      <w:r w:rsidR="005A4ED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秘书处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负责起草，由学术委员会主任审定和签发</w:t>
      </w:r>
      <w:r w:rsidR="005A4ED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，或者由学术委员会主任</w:t>
      </w:r>
      <w:r w:rsidR="00F94DA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授权相应的</w:t>
      </w:r>
      <w:r w:rsidR="005A4ED2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工作委员会</w:t>
      </w:r>
      <w:r w:rsidR="00F94DA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主任、专题工作组组长</w:t>
      </w:r>
      <w:r w:rsidR="00DB6D8E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、</w:t>
      </w:r>
      <w:r w:rsidR="00DB6D8E" w:rsidRPr="00DB6D8E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咨询委员会主任</w:t>
      </w:r>
      <w:r w:rsidR="00F94DA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等</w:t>
      </w:r>
      <w:r w:rsidR="00F94DA0" w:rsidRPr="00F94DA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审定和签发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2．学术委员会的议事结果一般以书面形式报送相关校领导，根据校领导批示意见组织实施。学术委员会秘书长和</w:t>
      </w:r>
      <w:r w:rsidR="00F94DA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秘书处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在学术委员会主任的授权下负责协调和催办。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3．对因事因病未出席会议的委员，会后由学术委员会</w:t>
      </w:r>
      <w:r w:rsidR="00F94DA0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秘书处</w:t>
      </w: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向其报告本次会议的议事情况和结果。</w:t>
      </w:r>
    </w:p>
    <w:p w:rsidR="006037A4" w:rsidRPr="006037A4" w:rsidRDefault="006037A4" w:rsidP="00527376">
      <w:pPr>
        <w:widowControl/>
        <w:spacing w:line="600" w:lineRule="exact"/>
        <w:ind w:firstLineChars="200" w:firstLine="602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b/>
          <w:bCs/>
          <w:color w:val="333333"/>
          <w:kern w:val="0"/>
          <w:sz w:val="30"/>
          <w:szCs w:val="30"/>
        </w:rPr>
        <w:t>四、议事纪律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lastRenderedPageBreak/>
        <w:t>1．学术委员会委员应从时间和精力上保证会议的顺利进行。与会人员应按时出席会议。委员因公、因病或其他特殊原因不能出席会议，应在会前以书面形式请假并说明事由。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2．学术委员会委员应本着对学校高度负责的精神，坚持原则、实事求是、客观公正地发表意见。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3．学术委员会委员对下列事项负有保密义务：（1）学校的涉密事项；涉密学术成果；（2）委员在会议中发表的涉及他人和单位的评价言论；（3）学术委员会认为应当保密的内容和决定事项。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4．学术委员会的某个议题涉及到委员或其直系亲属需要回避的，该委员应主动回避。会议主持人也可以要求该委员回避。</w:t>
      </w:r>
    </w:p>
    <w:p w:rsidR="006037A4" w:rsidRPr="006037A4" w:rsidRDefault="006037A4" w:rsidP="00527376">
      <w:pPr>
        <w:widowControl/>
        <w:spacing w:line="600" w:lineRule="exact"/>
        <w:ind w:firstLineChars="200" w:firstLine="602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b/>
          <w:bCs/>
          <w:color w:val="333333"/>
          <w:kern w:val="0"/>
          <w:sz w:val="30"/>
          <w:szCs w:val="30"/>
        </w:rPr>
        <w:t>五、附则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1. 本议事规则</w:t>
      </w:r>
      <w:proofErr w:type="gramStart"/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自学术</w:t>
      </w:r>
      <w:proofErr w:type="gramEnd"/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委员会全体会议讨论通过之日起执行。</w:t>
      </w:r>
    </w:p>
    <w:p w:rsidR="006037A4" w:rsidRPr="006037A4" w:rsidRDefault="006037A4" w:rsidP="00527376">
      <w:pPr>
        <w:widowControl/>
        <w:spacing w:line="600" w:lineRule="exact"/>
        <w:ind w:firstLineChars="200" w:firstLine="600"/>
        <w:rPr>
          <w:rFonts w:ascii="Tahoma" w:eastAsia="宋体" w:hAnsi="Tahoma" w:cs="Tahoma"/>
          <w:color w:val="333333"/>
          <w:kern w:val="0"/>
          <w:szCs w:val="21"/>
        </w:rPr>
      </w:pPr>
      <w:r w:rsidRPr="006037A4">
        <w:rPr>
          <w:rFonts w:ascii="仿宋_GB2312" w:eastAsia="仿宋_GB2312" w:hAnsi="Tahoma" w:cs="Tahoma" w:hint="eastAsia"/>
          <w:color w:val="333333"/>
          <w:kern w:val="0"/>
          <w:sz w:val="30"/>
          <w:szCs w:val="30"/>
        </w:rPr>
        <w:t>2．本议事规则由学术委员会负责解释。</w:t>
      </w:r>
    </w:p>
    <w:p w:rsidR="00E44EBF" w:rsidRPr="006037A4" w:rsidRDefault="00E44EBF" w:rsidP="00527376">
      <w:pPr>
        <w:spacing w:line="600" w:lineRule="exact"/>
      </w:pPr>
    </w:p>
    <w:sectPr w:rsidR="00E44EBF" w:rsidRPr="00603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85" w:rsidRDefault="00326485" w:rsidP="00497029">
      <w:r>
        <w:separator/>
      </w:r>
    </w:p>
  </w:endnote>
  <w:endnote w:type="continuationSeparator" w:id="0">
    <w:p w:rsidR="00326485" w:rsidRDefault="00326485" w:rsidP="0049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85" w:rsidRDefault="00326485" w:rsidP="00497029">
      <w:r>
        <w:separator/>
      </w:r>
    </w:p>
  </w:footnote>
  <w:footnote w:type="continuationSeparator" w:id="0">
    <w:p w:rsidR="00326485" w:rsidRDefault="00326485" w:rsidP="00497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73"/>
    <w:rsid w:val="000D4700"/>
    <w:rsid w:val="00101C2F"/>
    <w:rsid w:val="00107144"/>
    <w:rsid w:val="00112E04"/>
    <w:rsid w:val="00254AF1"/>
    <w:rsid w:val="0031435C"/>
    <w:rsid w:val="00326485"/>
    <w:rsid w:val="00497029"/>
    <w:rsid w:val="00527376"/>
    <w:rsid w:val="00540CA9"/>
    <w:rsid w:val="005A4ED2"/>
    <w:rsid w:val="005D0937"/>
    <w:rsid w:val="005D7882"/>
    <w:rsid w:val="005F3273"/>
    <w:rsid w:val="006037A4"/>
    <w:rsid w:val="006336C8"/>
    <w:rsid w:val="008969BA"/>
    <w:rsid w:val="00921F3D"/>
    <w:rsid w:val="009D6A92"/>
    <w:rsid w:val="00A21730"/>
    <w:rsid w:val="00A46965"/>
    <w:rsid w:val="00A5355A"/>
    <w:rsid w:val="00A57F04"/>
    <w:rsid w:val="00AC4A8A"/>
    <w:rsid w:val="00C72BBA"/>
    <w:rsid w:val="00CA3F2A"/>
    <w:rsid w:val="00CA59AB"/>
    <w:rsid w:val="00DB6D8E"/>
    <w:rsid w:val="00E07E9E"/>
    <w:rsid w:val="00E44EBF"/>
    <w:rsid w:val="00F06E6B"/>
    <w:rsid w:val="00F33383"/>
    <w:rsid w:val="00F94DA0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0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73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73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0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73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7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7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学术委员会秘书处</dc:creator>
  <cp:lastModifiedBy>学术委员会秘书处</cp:lastModifiedBy>
  <cp:revision>5</cp:revision>
  <cp:lastPrinted>2022-03-21T03:53:00Z</cp:lastPrinted>
  <dcterms:created xsi:type="dcterms:W3CDTF">2022-09-30T06:06:00Z</dcterms:created>
  <dcterms:modified xsi:type="dcterms:W3CDTF">2023-03-09T06:16:00Z</dcterms:modified>
</cp:coreProperties>
</file>